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48" w:rsidRDefault="00A215C5">
      <w:r>
        <w:rPr>
          <w:noProof/>
          <w:lang w:eastAsia="it-IT"/>
        </w:rPr>
        <w:drawing>
          <wp:inline distT="0" distB="0" distL="0" distR="0" wp14:anchorId="71BECB41" wp14:editId="72966AC1">
            <wp:extent cx="5811517" cy="4210111"/>
            <wp:effectExtent l="0" t="0" r="1841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drawing>
          <wp:inline distT="0" distB="0" distL="0" distR="0" wp14:anchorId="3991F97B" wp14:editId="56FEED9D">
            <wp:extent cx="5821044" cy="4219971"/>
            <wp:effectExtent l="0" t="0" r="2794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drawing>
          <wp:inline distT="0" distB="0" distL="0" distR="0" wp14:anchorId="300EDDCA" wp14:editId="74C44BB1">
            <wp:extent cx="5830571" cy="4229830"/>
            <wp:effectExtent l="0" t="0" r="17780" b="1841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drawing>
          <wp:inline distT="0" distB="0" distL="0" distR="0" wp14:anchorId="283FEB43" wp14:editId="7330E3D3">
            <wp:extent cx="5792463" cy="3874880"/>
            <wp:effectExtent l="0" t="0" r="18415" b="1143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drawing>
          <wp:inline distT="0" distB="0" distL="0" distR="0" wp14:anchorId="783A1691" wp14:editId="4CC089D6">
            <wp:extent cx="6068748" cy="4239690"/>
            <wp:effectExtent l="0" t="0" r="27305" b="2794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lastRenderedPageBreak/>
        <w:drawing>
          <wp:inline distT="0" distB="0" distL="0" distR="0" wp14:anchorId="5033C802" wp14:editId="4FCBCC1A">
            <wp:extent cx="5582867" cy="4052355"/>
            <wp:effectExtent l="0" t="0" r="18415" b="2476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15C5" w:rsidRDefault="00A215C5"/>
    <w:p w:rsidR="00A215C5" w:rsidRDefault="00A215C5">
      <w:r>
        <w:rPr>
          <w:noProof/>
          <w:lang w:eastAsia="it-IT"/>
        </w:rPr>
        <w:drawing>
          <wp:inline distT="0" distB="0" distL="0" distR="0" wp14:anchorId="66B50CAF" wp14:editId="0BE8B038">
            <wp:extent cx="5411380" cy="4022776"/>
            <wp:effectExtent l="0" t="0" r="18415" b="1587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A2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4"/>
    <w:rsid w:val="004F0ED4"/>
    <w:rsid w:val="00A215C5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rpal.org\dati\03DS\03CATIS00\TRASPARENZA\trasparenza_2014\Tabelle%20excel%20torte_201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rpal.org\dati\03DS\03CATIS00\TRASPARENZA\trasparenza_2014\Tabelle%20excel%20torte_201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rpal.org\dati\03DS\03CATIS00\TRASPARENZA\trasparenza_2014\Tabelle%20excel%20torte_201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rpal.org\dati\03DS\03CATIS00\TRASPARENZA\trasparenza_2014\Tabelle%20excel%20torte_20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arpal.org\dati\03DS\03CATIS00\TRASPARENZA\trasparenza_2014\Tabelle%20excel%20torte_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Controlli ambientali (2014): 2756
</a:t>
            </a:r>
          </a:p>
        </c:rich>
      </c:tx>
      <c:layout>
        <c:manualLayout>
          <c:xMode val="edge"/>
          <c:yMode val="edge"/>
          <c:x val="0.34754132782582503"/>
          <c:y val="3.307897988161315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950838043383423"/>
          <c:y val="0.41217845728105934"/>
          <c:w val="0.54262338516856523"/>
          <c:h val="0.30679191990806121"/>
        </c:manualLayout>
      </c:layout>
      <c:pie3DChart>
        <c:varyColors val="1"/>
        <c:ser>
          <c:idx val="0"/>
          <c:order val="0"/>
          <c:tx>
            <c:v>Controllo ambientali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5980121337291856E-2"/>
                  <c:y val="-4.35257887845986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4226152058861497E-3"/>
                  <c:y val="-9.980883537098845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2153091519297791E-3"/>
                  <c:y val="2.15503389945109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3.486373219740975E-2"/>
                  <c:y val="1.53457866946959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3.4349296501871691E-2"/>
                  <c:y val="1.4556541088101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6.3087646831031394E-2"/>
                  <c:y val="-7.79823833496223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3.7957919194526915E-2"/>
                  <c:y val="-1.66115301161125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Grafici!$C$3:$C$9</c:f>
              <c:strCache>
                <c:ptCount val="7"/>
                <c:pt idx="0">
                  <c:v>Aria</c:v>
                </c:pt>
                <c:pt idx="1">
                  <c:v>Rifiuti e suolo</c:v>
                </c:pt>
                <c:pt idx="2">
                  <c:v>Scarichi </c:v>
                </c:pt>
                <c:pt idx="3">
                  <c:v>Acque interne </c:v>
                </c:pt>
                <c:pt idx="4">
                  <c:v>Mare </c:v>
                </c:pt>
                <c:pt idx="5">
                  <c:v>Agenti fisici </c:v>
                </c:pt>
                <c:pt idx="6">
                  <c:v>VIA / AIA</c:v>
                </c:pt>
              </c:strCache>
            </c:strRef>
          </c:cat>
          <c:val>
            <c:numRef>
              <c:f>Grafici!$D$3:$D$9</c:f>
              <c:numCache>
                <c:formatCode>General</c:formatCode>
                <c:ptCount val="7"/>
                <c:pt idx="0">
                  <c:v>367</c:v>
                </c:pt>
                <c:pt idx="1">
                  <c:v>531</c:v>
                </c:pt>
                <c:pt idx="2">
                  <c:v>392</c:v>
                </c:pt>
                <c:pt idx="3">
                  <c:v>90</c:v>
                </c:pt>
                <c:pt idx="4">
                  <c:v>201</c:v>
                </c:pt>
                <c:pt idx="5">
                  <c:v>1028</c:v>
                </c:pt>
                <c:pt idx="6">
                  <c:v>114</c:v>
                </c:pt>
              </c:numCache>
            </c:numRef>
          </c:val>
        </c:ser>
        <c:ser>
          <c:idx val="1"/>
          <c:order val="1"/>
          <c:tx>
            <c:v>Controllo ambientali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Grafici!$C$3:$C$9</c:f>
              <c:strCache>
                <c:ptCount val="7"/>
                <c:pt idx="0">
                  <c:v>Aria</c:v>
                </c:pt>
                <c:pt idx="1">
                  <c:v>Rifiuti e suolo</c:v>
                </c:pt>
                <c:pt idx="2">
                  <c:v>Scarichi </c:v>
                </c:pt>
                <c:pt idx="3">
                  <c:v>Acque interne </c:v>
                </c:pt>
                <c:pt idx="4">
                  <c:v>Mare </c:v>
                </c:pt>
                <c:pt idx="5">
                  <c:v>Agenti fisici </c:v>
                </c:pt>
                <c:pt idx="6">
                  <c:v>VIA / AIA</c:v>
                </c:pt>
              </c:strCache>
            </c:strRef>
          </c:cat>
          <c:val>
            <c:numRef>
              <c:f>Grafici!$D$3:$D$9</c:f>
              <c:numCache>
                <c:formatCode>General</c:formatCode>
                <c:ptCount val="7"/>
                <c:pt idx="0">
                  <c:v>367</c:v>
                </c:pt>
                <c:pt idx="1">
                  <c:v>531</c:v>
                </c:pt>
                <c:pt idx="2">
                  <c:v>392</c:v>
                </c:pt>
                <c:pt idx="3">
                  <c:v>90</c:v>
                </c:pt>
                <c:pt idx="4">
                  <c:v>201</c:v>
                </c:pt>
                <c:pt idx="5">
                  <c:v>1028</c:v>
                </c:pt>
                <c:pt idx="6">
                  <c:v>114</c:v>
                </c:pt>
              </c:numCache>
            </c:numRef>
          </c:val>
        </c:ser>
        <c:ser>
          <c:idx val="2"/>
          <c:order val="2"/>
          <c:tx>
            <c:v>Controllo ambientali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Grafici!$C$3:$C$9</c:f>
              <c:strCache>
                <c:ptCount val="7"/>
                <c:pt idx="0">
                  <c:v>Aria</c:v>
                </c:pt>
                <c:pt idx="1">
                  <c:v>Rifiuti e suolo</c:v>
                </c:pt>
                <c:pt idx="2">
                  <c:v>Scarichi </c:v>
                </c:pt>
                <c:pt idx="3">
                  <c:v>Acque interne </c:v>
                </c:pt>
                <c:pt idx="4">
                  <c:v>Mare </c:v>
                </c:pt>
                <c:pt idx="5">
                  <c:v>Agenti fisici </c:v>
                </c:pt>
                <c:pt idx="6">
                  <c:v>VIA / AIA</c:v>
                </c:pt>
              </c:strCache>
            </c:strRef>
          </c:cat>
          <c:val>
            <c:numRef>
              <c:f>Grafici!$D$3:$D$9</c:f>
              <c:numCache>
                <c:formatCode>General</c:formatCode>
                <c:ptCount val="7"/>
                <c:pt idx="0">
                  <c:v>367</c:v>
                </c:pt>
                <c:pt idx="1">
                  <c:v>531</c:v>
                </c:pt>
                <c:pt idx="2">
                  <c:v>392</c:v>
                </c:pt>
                <c:pt idx="3">
                  <c:v>90</c:v>
                </c:pt>
                <c:pt idx="4">
                  <c:v>201</c:v>
                </c:pt>
                <c:pt idx="5">
                  <c:v>1028</c:v>
                </c:pt>
                <c:pt idx="6">
                  <c:v>114</c:v>
                </c:pt>
              </c:numCache>
            </c:numRef>
          </c:val>
        </c:ser>
        <c:ser>
          <c:idx val="3"/>
          <c:order val="3"/>
          <c:tx>
            <c:v>Controllo ambientali</c:v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Grafici!$C$3:$C$9</c:f>
              <c:strCache>
                <c:ptCount val="7"/>
                <c:pt idx="0">
                  <c:v>Aria</c:v>
                </c:pt>
                <c:pt idx="1">
                  <c:v>Rifiuti e suolo</c:v>
                </c:pt>
                <c:pt idx="2">
                  <c:v>Scarichi </c:v>
                </c:pt>
                <c:pt idx="3">
                  <c:v>Acque interne </c:v>
                </c:pt>
                <c:pt idx="4">
                  <c:v>Mare </c:v>
                </c:pt>
                <c:pt idx="5">
                  <c:v>Agenti fisici </c:v>
                </c:pt>
                <c:pt idx="6">
                  <c:v>VIA / AIA</c:v>
                </c:pt>
              </c:strCache>
            </c:strRef>
          </c:cat>
          <c:val>
            <c:numRef>
              <c:f>Grafici!$D$3:$D$9</c:f>
              <c:numCache>
                <c:formatCode>General</c:formatCode>
                <c:ptCount val="7"/>
                <c:pt idx="0">
                  <c:v>367</c:v>
                </c:pt>
                <c:pt idx="1">
                  <c:v>531</c:v>
                </c:pt>
                <c:pt idx="2">
                  <c:v>392</c:v>
                </c:pt>
                <c:pt idx="3">
                  <c:v>90</c:v>
                </c:pt>
                <c:pt idx="4">
                  <c:v>201</c:v>
                </c:pt>
                <c:pt idx="5">
                  <c:v>1028</c:v>
                </c:pt>
                <c:pt idx="6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 sz="875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Monitoraggi ambientali (2014): 3963</a:t>
            </a:r>
          </a:p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 sz="875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 sz="875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33224222585924712"/>
          <c:y val="3.2994824245100203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139116202946"/>
          <c:y val="0.44626168224299068"/>
          <c:w val="0.47135842880523732"/>
          <c:h val="0.26869158878504673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3.8384645454506401E-3"/>
                  <c:y val="6.031422474059901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8.3133712213960168E-2"/>
                  <c:y val="9.84028748742855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1.6900223805903149E-2"/>
                  <c:y val="-1.365319989206956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7.0159069723485873E-2"/>
                  <c:y val="-1.84458017514165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Grafici!$C$11:$C$14</c:f>
              <c:strCache>
                <c:ptCount val="4"/>
                <c:pt idx="0">
                  <c:v>Aria e agenti fisici</c:v>
                </c:pt>
                <c:pt idx="1">
                  <c:v>Acque interne </c:v>
                </c:pt>
                <c:pt idx="2">
                  <c:v>Suolo /Biodiversità</c:v>
                </c:pt>
                <c:pt idx="3">
                  <c:v>Mare </c:v>
                </c:pt>
              </c:strCache>
            </c:strRef>
          </c:cat>
          <c:val>
            <c:numRef>
              <c:f>Grafici!$D$11:$D$14</c:f>
              <c:numCache>
                <c:formatCode>General</c:formatCode>
                <c:ptCount val="4"/>
                <c:pt idx="0">
                  <c:v>2122</c:v>
                </c:pt>
                <c:pt idx="1">
                  <c:v>1581</c:v>
                </c:pt>
                <c:pt idx="2">
                  <c:v>50</c:v>
                </c:pt>
                <c:pt idx="3">
                  <c:v>210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Grafici!$C$11:$C$14</c:f>
              <c:strCache>
                <c:ptCount val="4"/>
                <c:pt idx="0">
                  <c:v>Aria e agenti fisici</c:v>
                </c:pt>
                <c:pt idx="1">
                  <c:v>Acque interne </c:v>
                </c:pt>
                <c:pt idx="2">
                  <c:v>Suolo /Biodiversità</c:v>
                </c:pt>
                <c:pt idx="3">
                  <c:v>Mare </c:v>
                </c:pt>
              </c:strCache>
            </c:strRef>
          </c:cat>
          <c:val>
            <c:numRef>
              <c:f>Grafici!$D$11:$D$14</c:f>
              <c:numCache>
                <c:formatCode>General</c:formatCode>
                <c:ptCount val="4"/>
                <c:pt idx="0">
                  <c:v>2122</c:v>
                </c:pt>
                <c:pt idx="1">
                  <c:v>1581</c:v>
                </c:pt>
                <c:pt idx="2">
                  <c:v>50</c:v>
                </c:pt>
                <c:pt idx="3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Monitoraggi di prevenzione collettiva (2014): 3243</a:t>
            </a:r>
          </a:p>
        </c:rich>
      </c:tx>
      <c:layout>
        <c:manualLayout>
          <c:xMode val="edge"/>
          <c:yMode val="edge"/>
          <c:x val="0.2696083577788071"/>
          <c:y val="3.291130566721117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39252449787534"/>
          <c:y val="0.41258835179093778"/>
          <c:w val="0.54085053623260093"/>
          <c:h val="0.30536200047803869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1.8523398447877513E-2"/>
                  <c:y val="4.255556663012065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Mode val="edge"/>
                  <c:yMode val="edge"/>
                  <c:x val="0.21405262914341608"/>
                  <c:y val="0.7037974683544303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Mode val="edge"/>
                  <c:yMode val="edge"/>
                  <c:x val="0.17647086982815982"/>
                  <c:y val="0.5924050632911392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4"/>
          <c:order val="4"/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5"/>
          <c:order val="5"/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6"/>
          <c:order val="6"/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7"/>
          <c:order val="7"/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8"/>
          <c:order val="8"/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9"/>
          <c:order val="9"/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0"/>
          <c:order val="10"/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1"/>
          <c:order val="11"/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2"/>
          <c:order val="12"/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3"/>
          <c:order val="13"/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4"/>
          <c:order val="14"/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ser>
          <c:idx val="15"/>
          <c:order val="15"/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Grafici!$C$15:$C$17</c:f>
              <c:strCache>
                <c:ptCount val="3"/>
                <c:pt idx="0">
                  <c:v>Acque interne </c:v>
                </c:pt>
                <c:pt idx="1">
                  <c:v>Balneazione </c:v>
                </c:pt>
                <c:pt idx="2">
                  <c:v>Altro</c:v>
                </c:pt>
              </c:strCache>
            </c:strRef>
          </c:cat>
          <c:val>
            <c:numRef>
              <c:f>Grafici!$D$15:$D$17</c:f>
              <c:numCache>
                <c:formatCode>General</c:formatCode>
                <c:ptCount val="3"/>
                <c:pt idx="0">
                  <c:v>504</c:v>
                </c:pt>
                <c:pt idx="1">
                  <c:v>2706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Istruttorie (2014): 2468
</a:t>
            </a:r>
          </a:p>
        </c:rich>
      </c:tx>
      <c:layout>
        <c:manualLayout>
          <c:xMode val="edge"/>
          <c:yMode val="edge"/>
          <c:x val="0.39638157894736842"/>
          <c:y val="3.816793893129771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26315789473684"/>
          <c:y val="0.40203662242719868"/>
          <c:w val="0.54111842105263153"/>
          <c:h val="0.3307896260476951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9933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</c:dPt>
          <c:dLbls>
            <c:dLbl>
              <c:idx val="0"/>
              <c:layout>
                <c:manualLayout>
                  <c:x val="1.6535433070866062E-2"/>
                  <c:y val="-3.15788770678474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2.9020064926094765E-2"/>
                  <c:y val="-1.325853352300428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7.7011672882994885E-3"/>
                  <c:y val="-4.5747831139428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9.7085232766956232E-3"/>
                  <c:y val="-5.24419557536041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1.0014159414283741E-2"/>
                  <c:y val="-3.245510341741633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4.4707141870424093E-2"/>
                  <c:y val="5.69846326461100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1.9046138969468977E-4"/>
                  <c:y val="3.95002433730952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6.1870251415941435E-2"/>
                  <c:y val="-0.114416184674260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-2.1965395772896808E-2"/>
                  <c:y val="-0.111871664896849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Energia /Grandi rischi
3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0256941566516575E-4"/>
                  <c:y val="-2.53574391998812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Mode val="edge"/>
                  <c:yMode val="edge"/>
                  <c:x val="0.35526315789473684"/>
                  <c:y val="0.1933847044586525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Grafici!$A$32:$A$41</c:f>
              <c:strCache>
                <c:ptCount val="10"/>
                <c:pt idx="0">
                  <c:v>Aria</c:v>
                </c:pt>
                <c:pt idx="1">
                  <c:v>Rifiuti</c:v>
                </c:pt>
                <c:pt idx="2">
                  <c:v>Suolo </c:v>
                </c:pt>
                <c:pt idx="3">
                  <c:v>Scarichi</c:v>
                </c:pt>
                <c:pt idx="4">
                  <c:v>Sedimenti</c:v>
                </c:pt>
                <c:pt idx="5">
                  <c:v>Rumore </c:v>
                </c:pt>
                <c:pt idx="6">
                  <c:v>CEM</c:v>
                </c:pt>
                <c:pt idx="7">
                  <c:v>IPPC</c:v>
                </c:pt>
                <c:pt idx="8">
                  <c:v>Energia/ Grandi rischi</c:v>
                </c:pt>
                <c:pt idx="9">
                  <c:v>Biodiversità</c:v>
                </c:pt>
              </c:strCache>
            </c:strRef>
          </c:cat>
          <c:val>
            <c:numRef>
              <c:f>Grafici!$B$32:$B$41</c:f>
              <c:numCache>
                <c:formatCode>General</c:formatCode>
                <c:ptCount val="10"/>
                <c:pt idx="0">
                  <c:v>49</c:v>
                </c:pt>
                <c:pt idx="1">
                  <c:v>20</c:v>
                </c:pt>
                <c:pt idx="2">
                  <c:v>469</c:v>
                </c:pt>
                <c:pt idx="3">
                  <c:v>176</c:v>
                </c:pt>
                <c:pt idx="4">
                  <c:v>52</c:v>
                </c:pt>
                <c:pt idx="5">
                  <c:v>106</c:v>
                </c:pt>
                <c:pt idx="6">
                  <c:v>1516</c:v>
                </c:pt>
                <c:pt idx="7">
                  <c:v>10</c:v>
                </c:pt>
                <c:pt idx="8">
                  <c:v>39</c:v>
                </c:pt>
                <c:pt idx="9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Campioni analizzati (2014): 33.864
</a:t>
            </a:r>
          </a:p>
        </c:rich>
      </c:tx>
      <c:layout>
        <c:manualLayout>
          <c:xMode val="edge"/>
          <c:yMode val="edge"/>
          <c:x val="0.35792811612834108"/>
          <c:y val="6.481499114936213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513366422014831"/>
          <c:y val="0.43750098899782308"/>
          <c:w val="0.41130329800893012"/>
          <c:h val="0.24074128495118308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0828863110410107E-2"/>
                  <c:y val="2.463681803694008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094461929442817E-2"/>
                  <c:y val="-4.38196805612171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67974934365597994"/>
                  <c:y val="0.3030310503251517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74725332004675848"/>
                  <c:y val="0.398990882928116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75039303987888772"/>
                  <c:y val="0.5025264917892099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72527528122185381"/>
                  <c:y val="0.679294604478881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19466262959201272"/>
                  <c:y val="0.679294604478881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43799091658202866"/>
                  <c:y val="0.282828980303474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delete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Grafici!$A$61:$A$62</c:f>
              <c:strCache>
                <c:ptCount val="2"/>
                <c:pt idx="0">
                  <c:v>Prevenzione collettiva</c:v>
                </c:pt>
                <c:pt idx="1">
                  <c:v>Controllo e Monitoraggio Ambientale</c:v>
                </c:pt>
              </c:strCache>
            </c:strRef>
          </c:cat>
          <c:val>
            <c:numRef>
              <c:f>Grafici!$B$61:$B$62</c:f>
              <c:numCache>
                <c:formatCode>#,##0</c:formatCode>
                <c:ptCount val="2"/>
                <c:pt idx="0">
                  <c:v>20131</c:v>
                </c:pt>
                <c:pt idx="1">
                  <c:v>13733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Campioni analizzati per controllo e monitoraggio ambientale (2014): 13.733</a:t>
            </a:r>
          </a:p>
        </c:rich>
      </c:tx>
      <c:layout>
        <c:manualLayout>
          <c:xMode val="edge"/>
          <c:yMode val="edge"/>
          <c:x val="0.15699676618920927"/>
          <c:y val="3.71354675556066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529023178380288"/>
          <c:y val="0.12832929782082325"/>
          <c:w val="0.7832771031732475"/>
          <c:h val="0.670702179176755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0C0C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FF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9964832357034788E-3"/>
                  <c:y val="-1.82610330207397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302872744451451E-3"/>
                  <c:y val="-6.109846348781958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83549503861725E-3"/>
                  <c:y val="-2.02613532724854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624580582860919E-3"/>
                  <c:y val="6.14966895716288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9743099790644219E-4"/>
                  <c:y val="-1.1303215745246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752894221849685E-3"/>
                  <c:y val="2.11867415777274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81399385231729637"/>
                  <c:y val="0.482758620689655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92150247432146759"/>
                  <c:y val="0.54907161803713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Grafici!$C$62:$C$67</c:f>
              <c:strCache>
                <c:ptCount val="6"/>
                <c:pt idx="0">
                  <c:v>Aria</c:v>
                </c:pt>
                <c:pt idx="1">
                  <c:v>Rifiuti e suolo</c:v>
                </c:pt>
                <c:pt idx="2">
                  <c:v>Acque interne </c:v>
                </c:pt>
                <c:pt idx="3">
                  <c:v>Scarichi</c:v>
                </c:pt>
                <c:pt idx="4">
                  <c:v>Mare</c:v>
                </c:pt>
                <c:pt idx="5">
                  <c:v>IR</c:v>
                </c:pt>
              </c:strCache>
            </c:strRef>
          </c:cat>
          <c:val>
            <c:numRef>
              <c:f>Grafici!$D$62:$D$67</c:f>
              <c:numCache>
                <c:formatCode>#,##0</c:formatCode>
                <c:ptCount val="6"/>
                <c:pt idx="0">
                  <c:v>8558</c:v>
                </c:pt>
                <c:pt idx="1">
                  <c:v>914</c:v>
                </c:pt>
                <c:pt idx="2">
                  <c:v>1802</c:v>
                </c:pt>
                <c:pt idx="3">
                  <c:v>493</c:v>
                </c:pt>
                <c:pt idx="4">
                  <c:v>978</c:v>
                </c:pt>
                <c:pt idx="5">
                  <c:v>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32864"/>
        <c:axId val="38934400"/>
      </c:barChart>
      <c:catAx>
        <c:axId val="3893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3893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934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38932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Campioni analizzati per prevenzione collettiva (2014): 20.131</a:t>
            </a:r>
          </a:p>
        </c:rich>
      </c:tx>
      <c:layout>
        <c:manualLayout>
          <c:xMode val="edge"/>
          <c:yMode val="edge"/>
          <c:x val="0.21654948061069831"/>
          <c:y val="3.743322525860737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8874510751223"/>
          <c:y val="0.12926829268292683"/>
          <c:w val="0.79049363729440381"/>
          <c:h val="0.6878048780487804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99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invertIfNegative val="0"/>
            <c:bubble3D val="0"/>
            <c:spPr>
              <a:solidFill>
                <a:srgbClr val="00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7877347308906129E-3"/>
                  <c:y val="4.00269485030940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282446428948331E-3"/>
                  <c:y val="-1.20774208036830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476247673961723E-3"/>
                  <c:y val="8.1561328898058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064399981460301E-3"/>
                  <c:y val="7.01783934762165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9418375816370356E-4"/>
                  <c:y val="-1.29507207321010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558234576708586E-3"/>
                  <c:y val="3.6088537061208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9883497918597206E-3"/>
                  <c:y val="-6.9740480300925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943988706230035E-3"/>
                  <c:y val="-8.26982188723739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Grafici!$C$54:$C$61</c:f>
              <c:strCache>
                <c:ptCount val="8"/>
                <c:pt idx="0">
                  <c:v>Mare</c:v>
                </c:pt>
                <c:pt idx="1">
                  <c:v>Pollini</c:v>
                </c:pt>
                <c:pt idx="2">
                  <c:v>Alimenti</c:v>
                </c:pt>
                <c:pt idx="3">
                  <c:v>Acque dest. consumo umano </c:v>
                </c:pt>
                <c:pt idx="4">
                  <c:v>Acque interne </c:v>
                </c:pt>
                <c:pt idx="5">
                  <c:v>Stupefacenti</c:v>
                </c:pt>
                <c:pt idx="6">
                  <c:v>Tutela salute</c:v>
                </c:pt>
                <c:pt idx="7">
                  <c:v>Altro</c:v>
                </c:pt>
              </c:strCache>
            </c:strRef>
          </c:cat>
          <c:val>
            <c:numRef>
              <c:f>Grafici!$D$54:$D$61</c:f>
              <c:numCache>
                <c:formatCode>#,##0</c:formatCode>
                <c:ptCount val="8"/>
                <c:pt idx="0">
                  <c:v>3161</c:v>
                </c:pt>
                <c:pt idx="1">
                  <c:v>1641</c:v>
                </c:pt>
                <c:pt idx="2">
                  <c:v>3008</c:v>
                </c:pt>
                <c:pt idx="3">
                  <c:v>8487</c:v>
                </c:pt>
                <c:pt idx="4">
                  <c:v>821</c:v>
                </c:pt>
                <c:pt idx="5">
                  <c:v>1087</c:v>
                </c:pt>
                <c:pt idx="6">
                  <c:v>1509</c:v>
                </c:pt>
                <c:pt idx="7">
                  <c:v>417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50624"/>
        <c:axId val="45852928"/>
      </c:barChart>
      <c:catAx>
        <c:axId val="45850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4585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52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45850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18</Characters>
  <Application>Microsoft Office Word</Application>
  <DocSecurity>0</DocSecurity>
  <Lines>1</Lines>
  <Paragraphs>1</Paragraphs>
  <ScaleCrop>false</ScaleCrop>
  <Company>ARPAL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 Eliana</dc:creator>
  <cp:keywords/>
  <dc:description/>
  <cp:lastModifiedBy>Paoli Eliana</cp:lastModifiedBy>
  <cp:revision>2</cp:revision>
  <dcterms:created xsi:type="dcterms:W3CDTF">2017-02-27T10:16:00Z</dcterms:created>
  <dcterms:modified xsi:type="dcterms:W3CDTF">2017-02-27T10:18:00Z</dcterms:modified>
</cp:coreProperties>
</file>